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282A7" w14:textId="7EEE8A7A" w:rsidR="00286F48" w:rsidRPr="00286F48" w:rsidRDefault="00286F48" w:rsidP="00286F48">
      <w:pPr>
        <w:rPr>
          <w:rFonts w:ascii="Arial" w:hAnsi="Arial" w:cs="Arial"/>
          <w:b/>
          <w:bCs/>
          <w:sz w:val="20"/>
          <w:szCs w:val="20"/>
        </w:rPr>
      </w:pPr>
      <w:r w:rsidRPr="00286F48">
        <w:rPr>
          <w:rFonts w:ascii="Arial" w:hAnsi="Arial" w:cs="Arial"/>
          <w:b/>
          <w:bCs/>
          <w:sz w:val="20"/>
          <w:szCs w:val="20"/>
        </w:rPr>
        <w:t>Gecoördineerde versie van het gemeenteraadsbesluit houdende de belasting op tweede verblijven (2020-2024)</w:t>
      </w:r>
    </w:p>
    <w:p w14:paraId="13D8CE96" w14:textId="77777777" w:rsidR="00286F48" w:rsidRPr="0057562C" w:rsidRDefault="00286F48" w:rsidP="00286F48">
      <w:pPr>
        <w:rPr>
          <w:rFonts w:ascii="Arial" w:hAnsi="Arial" w:cs="Arial"/>
          <w:b/>
          <w:bCs/>
          <w:sz w:val="20"/>
          <w:szCs w:val="20"/>
        </w:rPr>
      </w:pPr>
      <w:r w:rsidRPr="0057562C">
        <w:rPr>
          <w:rFonts w:ascii="Arial" w:hAnsi="Arial" w:cs="Arial"/>
          <w:b/>
          <w:bCs/>
          <w:sz w:val="20"/>
          <w:szCs w:val="20"/>
        </w:rPr>
        <w:t>besluit</w:t>
      </w:r>
    </w:p>
    <w:p w14:paraId="7F79FCB2" w14:textId="77777777" w:rsidR="00286F48" w:rsidRPr="0057562C" w:rsidRDefault="00286F48" w:rsidP="00286F48">
      <w:pPr>
        <w:rPr>
          <w:rFonts w:ascii="Arial" w:hAnsi="Arial" w:cs="Arial"/>
          <w:b/>
          <w:bCs/>
          <w:sz w:val="20"/>
          <w:szCs w:val="20"/>
        </w:rPr>
      </w:pPr>
      <w:r w:rsidRPr="0057562C">
        <w:rPr>
          <w:rFonts w:ascii="Arial" w:hAnsi="Arial" w:cs="Arial"/>
          <w:b/>
          <w:bCs/>
          <w:sz w:val="20"/>
          <w:szCs w:val="20"/>
        </w:rPr>
        <w:t>Artikel 1</w:t>
      </w:r>
    </w:p>
    <w:p w14:paraId="06E9A347" w14:textId="77777777" w:rsidR="00286F48" w:rsidRPr="00286F48" w:rsidRDefault="00286F48" w:rsidP="00286F48">
      <w:pPr>
        <w:rPr>
          <w:rFonts w:ascii="Arial" w:hAnsi="Arial" w:cs="Arial"/>
          <w:sz w:val="20"/>
          <w:szCs w:val="20"/>
        </w:rPr>
      </w:pPr>
      <w:r w:rsidRPr="00286F48">
        <w:rPr>
          <w:rFonts w:ascii="Arial" w:hAnsi="Arial" w:cs="Arial"/>
          <w:sz w:val="20"/>
          <w:szCs w:val="20"/>
        </w:rPr>
        <w:t>Er wordt voor een periode van 1 januari 2020 en eindigend op 31 december 2024, een belasting gevestigd op tweede verblijven gelegen op het grondgebied van de gemeente Merchtem. De belasting wordt vastgesteld op 1.000,00 euro per tweede verblijf;</w:t>
      </w:r>
    </w:p>
    <w:p w14:paraId="70DF2343" w14:textId="77777777" w:rsidR="00286F48" w:rsidRPr="0057562C" w:rsidRDefault="00286F48" w:rsidP="00286F48">
      <w:pPr>
        <w:rPr>
          <w:rFonts w:ascii="Arial" w:hAnsi="Arial" w:cs="Arial"/>
          <w:b/>
          <w:bCs/>
          <w:sz w:val="20"/>
          <w:szCs w:val="20"/>
        </w:rPr>
      </w:pPr>
      <w:r w:rsidRPr="0057562C">
        <w:rPr>
          <w:rFonts w:ascii="Arial" w:hAnsi="Arial" w:cs="Arial"/>
          <w:b/>
          <w:bCs/>
          <w:sz w:val="20"/>
          <w:szCs w:val="20"/>
        </w:rPr>
        <w:t>Artikel 2</w:t>
      </w:r>
    </w:p>
    <w:p w14:paraId="5592F400" w14:textId="59FAE2EF" w:rsidR="00286F48" w:rsidRPr="00286F48" w:rsidRDefault="00286F48" w:rsidP="00286F48">
      <w:pPr>
        <w:rPr>
          <w:rFonts w:ascii="Arial" w:hAnsi="Arial" w:cs="Arial"/>
          <w:sz w:val="20"/>
          <w:szCs w:val="20"/>
        </w:rPr>
      </w:pPr>
      <w:r w:rsidRPr="00286F48">
        <w:rPr>
          <w:rFonts w:ascii="Arial" w:hAnsi="Arial" w:cs="Arial"/>
          <w:sz w:val="20"/>
          <w:szCs w:val="20"/>
        </w:rPr>
        <w:t xml:space="preserve">Als tweede verblijf wordt beschouwd elke private woon- of verblijfsgelegenheid die </w:t>
      </w:r>
      <w:r w:rsidR="000B0117">
        <w:rPr>
          <w:rFonts w:ascii="Arial" w:hAnsi="Arial" w:cs="Arial"/>
          <w:color w:val="FF0000"/>
          <w:sz w:val="20"/>
          <w:szCs w:val="20"/>
        </w:rPr>
        <w:t>op 1 januari van het aanslagjaar</w:t>
      </w:r>
      <w:r w:rsidR="00782342">
        <w:rPr>
          <w:rStyle w:val="Voetnootmarkering"/>
          <w:rFonts w:ascii="Arial" w:hAnsi="Arial" w:cs="Arial"/>
          <w:color w:val="FF0000"/>
          <w:sz w:val="20"/>
          <w:szCs w:val="20"/>
        </w:rPr>
        <w:footnoteReference w:id="1"/>
      </w:r>
      <w:r w:rsidR="000B0117">
        <w:rPr>
          <w:rFonts w:ascii="Arial" w:hAnsi="Arial" w:cs="Arial"/>
          <w:color w:val="FF0000"/>
          <w:sz w:val="20"/>
          <w:szCs w:val="20"/>
        </w:rPr>
        <w:t xml:space="preserve"> </w:t>
      </w:r>
      <w:r w:rsidRPr="00286F48">
        <w:rPr>
          <w:rFonts w:ascii="Arial" w:hAnsi="Arial" w:cs="Arial"/>
          <w:sz w:val="20"/>
          <w:szCs w:val="20"/>
        </w:rPr>
        <w:t>voor de eigenaar of de huurder ervan niet tot hoofdverblijf dient, maar die op elke moment door hen kan worden bewoond.  Tweede verblijven zijn landhuizen, bungalows, appartementen, weekendhuisjes, optrekjes en alle andere vaste woongelegenheden, met inbegrip van de met chalets gelijkgestelde caravans, die al of niet ingeschreven zijn in de kadastrale legger;</w:t>
      </w:r>
    </w:p>
    <w:p w14:paraId="01A785DC" w14:textId="1B0B9935" w:rsidR="00286F48" w:rsidRPr="0057562C" w:rsidRDefault="0057562C" w:rsidP="00286F48">
      <w:pPr>
        <w:rPr>
          <w:rFonts w:ascii="Arial" w:hAnsi="Arial" w:cs="Arial"/>
          <w:color w:val="FF0000"/>
          <w:sz w:val="20"/>
          <w:szCs w:val="20"/>
        </w:rPr>
      </w:pPr>
      <w:r w:rsidRPr="0057562C">
        <w:rPr>
          <w:rFonts w:ascii="Arial" w:hAnsi="Arial" w:cs="Arial"/>
          <w:color w:val="FF0000"/>
          <w:sz w:val="20"/>
          <w:szCs w:val="20"/>
        </w:rPr>
        <w:t>Het gebruik van tweede verblijfplaats wordt beoordeeld op basis van een plaatsbezoek en het verbruik van nutsvoorzieningen. Om als tweede verblijfplaats beoordeeld te worden, dient het waterverbruik minimum 30 m³ per jaar te bedragen, het elektriciteitsverbruik minimum 600 kWh per jaar te bedragen of het gasverbruik minimum 2.316 kWh per jaar te bedragen.</w:t>
      </w:r>
      <w:r>
        <w:rPr>
          <w:rFonts w:ascii="Arial" w:hAnsi="Arial" w:cs="Arial"/>
          <w:color w:val="FF0000"/>
          <w:sz w:val="20"/>
          <w:szCs w:val="20"/>
        </w:rPr>
        <w:t xml:space="preserve"> Wanneer </w:t>
      </w:r>
      <w:r w:rsidR="009D6BB1">
        <w:rPr>
          <w:rFonts w:ascii="Arial" w:hAnsi="Arial" w:cs="Arial"/>
          <w:color w:val="FF0000"/>
          <w:sz w:val="20"/>
          <w:szCs w:val="20"/>
        </w:rPr>
        <w:t>het verbruik lager is</w:t>
      </w:r>
      <w:r>
        <w:rPr>
          <w:rFonts w:ascii="Arial" w:hAnsi="Arial" w:cs="Arial"/>
          <w:color w:val="FF0000"/>
          <w:sz w:val="20"/>
          <w:szCs w:val="20"/>
        </w:rPr>
        <w:t>, komt het gebouw of de woning in aanmerking om opgenomen te worden in het leegstandsregister woningen/gebouwen</w:t>
      </w:r>
      <w:r w:rsidR="009D6BB1">
        <w:rPr>
          <w:rFonts w:ascii="Arial" w:hAnsi="Arial" w:cs="Arial"/>
          <w:color w:val="FF0000"/>
          <w:sz w:val="20"/>
          <w:szCs w:val="20"/>
        </w:rPr>
        <w:t>;</w:t>
      </w:r>
      <w:r w:rsidR="009D6BB1">
        <w:rPr>
          <w:rStyle w:val="Voetnootmarkering"/>
          <w:rFonts w:ascii="Arial" w:hAnsi="Arial" w:cs="Arial"/>
          <w:color w:val="FF0000"/>
          <w:sz w:val="20"/>
          <w:szCs w:val="20"/>
        </w:rPr>
        <w:footnoteReference w:id="2"/>
      </w:r>
    </w:p>
    <w:p w14:paraId="12C704F1" w14:textId="77777777" w:rsidR="00286F48" w:rsidRPr="00286F48" w:rsidRDefault="00286F48" w:rsidP="00286F48">
      <w:pPr>
        <w:rPr>
          <w:rFonts w:ascii="Arial" w:hAnsi="Arial" w:cs="Arial"/>
          <w:sz w:val="20"/>
          <w:szCs w:val="20"/>
        </w:rPr>
      </w:pPr>
      <w:r w:rsidRPr="00286F48">
        <w:rPr>
          <w:rFonts w:ascii="Arial" w:hAnsi="Arial" w:cs="Arial"/>
          <w:sz w:val="20"/>
          <w:szCs w:val="20"/>
        </w:rPr>
        <w:t>Als tweede verblijf worden niet beschouwd :</w:t>
      </w:r>
    </w:p>
    <w:p w14:paraId="65DD39FF" w14:textId="77777777" w:rsidR="00286F48" w:rsidRPr="00D630D4" w:rsidRDefault="00286F48" w:rsidP="00D630D4">
      <w:pPr>
        <w:pStyle w:val="Lijstalinea"/>
        <w:numPr>
          <w:ilvl w:val="0"/>
          <w:numId w:val="1"/>
        </w:numPr>
        <w:rPr>
          <w:rFonts w:ascii="Arial" w:hAnsi="Arial" w:cs="Arial"/>
          <w:sz w:val="20"/>
          <w:szCs w:val="20"/>
        </w:rPr>
      </w:pPr>
      <w:r w:rsidRPr="00D630D4">
        <w:rPr>
          <w:rFonts w:ascii="Arial" w:hAnsi="Arial" w:cs="Arial"/>
          <w:sz w:val="20"/>
          <w:szCs w:val="20"/>
        </w:rPr>
        <w:t>de lokalen uitsluitend bestemd voor het uitoefenen van een beroepsactiviteit;</w:t>
      </w:r>
    </w:p>
    <w:p w14:paraId="7306CCF7" w14:textId="77777777" w:rsidR="00286F48" w:rsidRPr="00D630D4" w:rsidRDefault="00286F48" w:rsidP="00D630D4">
      <w:pPr>
        <w:pStyle w:val="Lijstalinea"/>
        <w:numPr>
          <w:ilvl w:val="0"/>
          <w:numId w:val="1"/>
        </w:numPr>
        <w:rPr>
          <w:rFonts w:ascii="Arial" w:hAnsi="Arial" w:cs="Arial"/>
          <w:sz w:val="20"/>
          <w:szCs w:val="20"/>
        </w:rPr>
      </w:pPr>
      <w:r w:rsidRPr="00D630D4">
        <w:rPr>
          <w:rFonts w:ascii="Arial" w:hAnsi="Arial" w:cs="Arial"/>
          <w:sz w:val="20"/>
          <w:szCs w:val="20"/>
        </w:rPr>
        <w:t>garages, tenten, verplaatsbare caravans en woonaanhangwagens, tenzij ze gedurende ten minste zes maanden van het belastingjaar opgesteld blijven om als woongelegenheid aangewend te worden;</w:t>
      </w:r>
    </w:p>
    <w:p w14:paraId="66F21E0F" w14:textId="77777777" w:rsidR="00286F48" w:rsidRPr="00D630D4" w:rsidRDefault="00286F48" w:rsidP="00D630D4">
      <w:pPr>
        <w:pStyle w:val="Lijstalinea"/>
        <w:numPr>
          <w:ilvl w:val="0"/>
          <w:numId w:val="1"/>
        </w:numPr>
        <w:rPr>
          <w:rFonts w:ascii="Arial" w:hAnsi="Arial" w:cs="Arial"/>
          <w:sz w:val="20"/>
          <w:szCs w:val="20"/>
        </w:rPr>
      </w:pPr>
      <w:r w:rsidRPr="00D630D4">
        <w:rPr>
          <w:rFonts w:ascii="Arial" w:hAnsi="Arial" w:cs="Arial"/>
          <w:sz w:val="20"/>
          <w:szCs w:val="20"/>
        </w:rPr>
        <w:t>studentenkamers;</w:t>
      </w:r>
    </w:p>
    <w:p w14:paraId="717808E0" w14:textId="77777777" w:rsidR="00286F48" w:rsidRPr="00D630D4" w:rsidRDefault="00286F48" w:rsidP="00286F48">
      <w:pPr>
        <w:rPr>
          <w:rFonts w:ascii="Arial" w:hAnsi="Arial" w:cs="Arial"/>
          <w:b/>
          <w:bCs/>
          <w:sz w:val="20"/>
          <w:szCs w:val="20"/>
        </w:rPr>
      </w:pPr>
      <w:r w:rsidRPr="00D630D4">
        <w:rPr>
          <w:rFonts w:ascii="Arial" w:hAnsi="Arial" w:cs="Arial"/>
          <w:b/>
          <w:bCs/>
          <w:sz w:val="20"/>
          <w:szCs w:val="20"/>
        </w:rPr>
        <w:t>Artikel 3</w:t>
      </w:r>
    </w:p>
    <w:p w14:paraId="24F97B01" w14:textId="77777777" w:rsidR="00286F48" w:rsidRPr="00286F48" w:rsidRDefault="00286F48" w:rsidP="00286F48">
      <w:pPr>
        <w:rPr>
          <w:rFonts w:ascii="Arial" w:hAnsi="Arial" w:cs="Arial"/>
          <w:sz w:val="20"/>
          <w:szCs w:val="20"/>
        </w:rPr>
      </w:pPr>
      <w:r w:rsidRPr="00286F48">
        <w:rPr>
          <w:rFonts w:ascii="Arial" w:hAnsi="Arial" w:cs="Arial"/>
          <w:sz w:val="20"/>
          <w:szCs w:val="20"/>
        </w:rPr>
        <w:t>De belasting is ondeelbaar en voor het gehele belastingjaar verschuldigd door diegene die op het adres van het tweede verblijf niet in het bevolkingsregister of het vreemdelingenregister is ingeschreven voor het hoofdverblijf en, hetzij als eigenaar, hetzij als huurder of als gebruiker, het tweede verblijf betrekt of kan betrekken. De belasting is eveneens verschuldigd door diegenen die een pand als hoofdverblijf gebruiken zonder er ingeschreven te zijn. De belasting is verschuldigd door diegene die het verblijf betrekt of kan betrekken op 1 januari van het belastingjaar. Zijn belastingplichtigheid geldt ook wanneer het tweede verblijf verhuurd wordt of wanneer het tijdelijk niet gebruikt wordt. Bij betwisting omtrent het gebruik van het tweede verblijf is de belasting solidair verschuldigd door diegene die eigenaar is op 1 januari van het belastingjaar. Indien het eigendomsrecht van een tweede verblijf overgaat naar een nieuwe eigenaar gedurende de periode van 1 januari tot en met 31 maart van het belastingjaar, is de nieuwe eigenaar de belasting verschuldigd;</w:t>
      </w:r>
    </w:p>
    <w:p w14:paraId="5522E1BD" w14:textId="77777777" w:rsidR="00286F48" w:rsidRPr="00CF260D" w:rsidRDefault="00286F48" w:rsidP="00286F48">
      <w:pPr>
        <w:rPr>
          <w:rFonts w:ascii="Arial" w:hAnsi="Arial" w:cs="Arial"/>
          <w:b/>
          <w:bCs/>
          <w:sz w:val="20"/>
          <w:szCs w:val="20"/>
        </w:rPr>
      </w:pPr>
      <w:r w:rsidRPr="00CF260D">
        <w:rPr>
          <w:rFonts w:ascii="Arial" w:hAnsi="Arial" w:cs="Arial"/>
          <w:b/>
          <w:bCs/>
          <w:sz w:val="20"/>
          <w:szCs w:val="20"/>
        </w:rPr>
        <w:t>Artikel 4</w:t>
      </w:r>
    </w:p>
    <w:p w14:paraId="10F3B8F2" w14:textId="14B8446D" w:rsidR="00286F48" w:rsidRPr="00286F48" w:rsidRDefault="00286F48" w:rsidP="00286F48">
      <w:pPr>
        <w:rPr>
          <w:rFonts w:ascii="Arial" w:hAnsi="Arial" w:cs="Arial"/>
          <w:sz w:val="20"/>
          <w:szCs w:val="20"/>
        </w:rPr>
      </w:pPr>
      <w:r w:rsidRPr="00286F48">
        <w:rPr>
          <w:rFonts w:ascii="Arial" w:hAnsi="Arial" w:cs="Arial"/>
          <w:sz w:val="20"/>
          <w:szCs w:val="20"/>
        </w:rPr>
        <w:t>De belastingplichtigen moeten uiterlijk op 31 maart van het belastingjaar bij het gemeentebe</w:t>
      </w:r>
      <w:r w:rsidR="00D630D4">
        <w:rPr>
          <w:rFonts w:ascii="Arial" w:hAnsi="Arial" w:cs="Arial"/>
          <w:sz w:val="20"/>
          <w:szCs w:val="20"/>
        </w:rPr>
        <w:t>s</w:t>
      </w:r>
      <w:r w:rsidRPr="00286F48">
        <w:rPr>
          <w:rFonts w:ascii="Arial" w:hAnsi="Arial" w:cs="Arial"/>
          <w:sz w:val="20"/>
          <w:szCs w:val="20"/>
        </w:rPr>
        <w:t>tuur aangifte doen van elk verblijf dat zij in de gemeente bezitten door middel van het formulier, vastgesteld door het gemeentebestuur.  Ingeval van eigendomsverwerving, ingebruikneming of aanwending als tweede verblijf in de loop van het jaar, dient de aangifte binnen de maand te geschieden.</w:t>
      </w:r>
    </w:p>
    <w:p w14:paraId="4832F072" w14:textId="5A9C32C6" w:rsidR="00286F48" w:rsidRPr="00CF260D" w:rsidRDefault="00CF260D" w:rsidP="00286F48">
      <w:pPr>
        <w:rPr>
          <w:rFonts w:ascii="Arial" w:hAnsi="Arial" w:cs="Arial"/>
          <w:color w:val="FF0000"/>
          <w:sz w:val="20"/>
          <w:szCs w:val="20"/>
        </w:rPr>
      </w:pPr>
      <w:r w:rsidRPr="00CF260D">
        <w:rPr>
          <w:rFonts w:ascii="Arial" w:hAnsi="Arial" w:cs="Arial"/>
          <w:color w:val="FF0000"/>
          <w:sz w:val="20"/>
          <w:szCs w:val="20"/>
        </w:rPr>
        <w:lastRenderedPageBreak/>
        <w:t>Bij gebrek aan aangifte of in geval van onjuiste, onvolledige of onnauwkeurige aangifte wordt de belasting ambtshalve gevestigd volgens de modaliteiten vermeld in artikel 7 van het decreet van 30 mei 2008 betreffende de vestiging, de invordering en de geschillenprocedure van provincie- en gemeentebelastingen</w:t>
      </w:r>
      <w:r>
        <w:rPr>
          <w:rStyle w:val="Voetnootmarkering"/>
          <w:rFonts w:ascii="Arial" w:hAnsi="Arial" w:cs="Arial"/>
          <w:color w:val="FF0000"/>
          <w:sz w:val="20"/>
          <w:szCs w:val="20"/>
        </w:rPr>
        <w:footnoteReference w:id="3"/>
      </w:r>
    </w:p>
    <w:p w14:paraId="653F288B" w14:textId="77777777" w:rsidR="00286F48" w:rsidRPr="00CF260D" w:rsidRDefault="00286F48" w:rsidP="00286F48">
      <w:pPr>
        <w:rPr>
          <w:rFonts w:ascii="Arial" w:hAnsi="Arial" w:cs="Arial"/>
          <w:b/>
          <w:bCs/>
          <w:sz w:val="20"/>
          <w:szCs w:val="20"/>
        </w:rPr>
      </w:pPr>
      <w:r w:rsidRPr="00CF260D">
        <w:rPr>
          <w:rFonts w:ascii="Arial" w:hAnsi="Arial" w:cs="Arial"/>
          <w:b/>
          <w:bCs/>
          <w:sz w:val="20"/>
          <w:szCs w:val="20"/>
        </w:rPr>
        <w:t>Artikel 5</w:t>
      </w:r>
    </w:p>
    <w:p w14:paraId="6F115E59" w14:textId="40D67532" w:rsidR="00286F48" w:rsidRPr="00286F48" w:rsidRDefault="00286F48" w:rsidP="00286F48">
      <w:pPr>
        <w:rPr>
          <w:rFonts w:ascii="Arial" w:hAnsi="Arial" w:cs="Arial"/>
          <w:sz w:val="20"/>
          <w:szCs w:val="20"/>
        </w:rPr>
      </w:pPr>
      <w:r w:rsidRPr="00286F48">
        <w:rPr>
          <w:rFonts w:ascii="Arial" w:hAnsi="Arial" w:cs="Arial"/>
          <w:sz w:val="20"/>
          <w:szCs w:val="20"/>
        </w:rPr>
        <w:t xml:space="preserve">De overeenkomstig artikel 4 ambtshalve ingekohierde belasting </w:t>
      </w:r>
      <w:r w:rsidRPr="00CF260D">
        <w:rPr>
          <w:rFonts w:ascii="Arial" w:hAnsi="Arial" w:cs="Arial"/>
          <w:strike/>
          <w:sz w:val="20"/>
          <w:szCs w:val="20"/>
        </w:rPr>
        <w:t>kunnen</w:t>
      </w:r>
      <w:r w:rsidR="00CF260D">
        <w:rPr>
          <w:rStyle w:val="Voetnootmarkering"/>
          <w:rFonts w:ascii="Arial" w:hAnsi="Arial" w:cs="Arial"/>
          <w:strike/>
          <w:sz w:val="20"/>
          <w:szCs w:val="20"/>
        </w:rPr>
        <w:footnoteReference w:id="4"/>
      </w:r>
      <w:r w:rsidRPr="00286F48">
        <w:rPr>
          <w:rFonts w:ascii="Arial" w:hAnsi="Arial" w:cs="Arial"/>
          <w:sz w:val="20"/>
          <w:szCs w:val="20"/>
        </w:rPr>
        <w:t xml:space="preserve"> worden verhoogd met een bedrag gelijk aan de oorspronkelijke belasting en, in geval van herhaling binnen de twaalf maanden, aan het dubbele van de oorspronkelijke belasting.  Het bedrag van deze verhoging wordt ingekohierd;</w:t>
      </w:r>
    </w:p>
    <w:p w14:paraId="04F84B86" w14:textId="77777777" w:rsidR="00286F48" w:rsidRPr="00CF260D" w:rsidRDefault="00286F48" w:rsidP="00286F48">
      <w:pPr>
        <w:rPr>
          <w:rFonts w:ascii="Arial" w:hAnsi="Arial" w:cs="Arial"/>
          <w:b/>
          <w:bCs/>
          <w:sz w:val="20"/>
          <w:szCs w:val="20"/>
        </w:rPr>
      </w:pPr>
      <w:r w:rsidRPr="00CF260D">
        <w:rPr>
          <w:rFonts w:ascii="Arial" w:hAnsi="Arial" w:cs="Arial"/>
          <w:b/>
          <w:bCs/>
          <w:sz w:val="20"/>
          <w:szCs w:val="20"/>
        </w:rPr>
        <w:t>Artikel 6</w:t>
      </w:r>
    </w:p>
    <w:p w14:paraId="7F33F8BE" w14:textId="3CF5A006" w:rsidR="00286F48" w:rsidRPr="00286F48" w:rsidRDefault="00286F48" w:rsidP="00286F48">
      <w:pPr>
        <w:rPr>
          <w:rFonts w:ascii="Arial" w:hAnsi="Arial" w:cs="Arial"/>
          <w:sz w:val="20"/>
          <w:szCs w:val="20"/>
        </w:rPr>
      </w:pPr>
      <w:r w:rsidRPr="00286F48">
        <w:rPr>
          <w:rFonts w:ascii="Arial" w:hAnsi="Arial" w:cs="Arial"/>
          <w:sz w:val="20"/>
          <w:szCs w:val="20"/>
        </w:rPr>
        <w:t xml:space="preserve">De </w:t>
      </w:r>
      <w:r w:rsidR="00CF260D">
        <w:rPr>
          <w:rFonts w:ascii="Arial" w:hAnsi="Arial" w:cs="Arial"/>
          <w:color w:val="FF0000"/>
          <w:sz w:val="20"/>
          <w:szCs w:val="20"/>
        </w:rPr>
        <w:t>kohieren</w:t>
      </w:r>
      <w:r w:rsidR="00C002CE">
        <w:rPr>
          <w:rStyle w:val="Voetnootmarkering"/>
          <w:rFonts w:ascii="Arial" w:hAnsi="Arial" w:cs="Arial"/>
          <w:color w:val="FF0000"/>
          <w:sz w:val="20"/>
          <w:szCs w:val="20"/>
        </w:rPr>
        <w:footnoteReference w:id="5"/>
      </w:r>
      <w:r w:rsidRPr="00CF260D">
        <w:rPr>
          <w:rFonts w:ascii="Arial" w:hAnsi="Arial" w:cs="Arial"/>
          <w:color w:val="FF0000"/>
          <w:sz w:val="20"/>
          <w:szCs w:val="20"/>
        </w:rPr>
        <w:t xml:space="preserve"> </w:t>
      </w:r>
      <w:r w:rsidRPr="00286F48">
        <w:rPr>
          <w:rFonts w:ascii="Arial" w:hAnsi="Arial" w:cs="Arial"/>
          <w:sz w:val="20"/>
          <w:szCs w:val="20"/>
        </w:rPr>
        <w:t>zullen worden opgesteld en uitvoerbaar verklaard door het college van burgemeester en schepenen en worden ingevorderd door de financieel directeur volgens de vigerende wetgeving;</w:t>
      </w:r>
    </w:p>
    <w:p w14:paraId="66B4933B" w14:textId="77777777" w:rsidR="00286F48" w:rsidRPr="00C002CE" w:rsidRDefault="00286F48" w:rsidP="00286F48">
      <w:pPr>
        <w:rPr>
          <w:rFonts w:ascii="Arial" w:hAnsi="Arial" w:cs="Arial"/>
          <w:b/>
          <w:bCs/>
          <w:sz w:val="20"/>
          <w:szCs w:val="20"/>
        </w:rPr>
      </w:pPr>
      <w:r w:rsidRPr="00C002CE">
        <w:rPr>
          <w:rFonts w:ascii="Arial" w:hAnsi="Arial" w:cs="Arial"/>
          <w:b/>
          <w:bCs/>
          <w:sz w:val="20"/>
          <w:szCs w:val="20"/>
        </w:rPr>
        <w:t>Artikel 7</w:t>
      </w:r>
    </w:p>
    <w:p w14:paraId="50A8EC42" w14:textId="77777777" w:rsidR="00286F48" w:rsidRPr="00286F48" w:rsidRDefault="00286F48" w:rsidP="00286F48">
      <w:pPr>
        <w:rPr>
          <w:rFonts w:ascii="Arial" w:hAnsi="Arial" w:cs="Arial"/>
          <w:sz w:val="20"/>
          <w:szCs w:val="20"/>
        </w:rPr>
      </w:pPr>
      <w:r w:rsidRPr="00286F48">
        <w:rPr>
          <w:rFonts w:ascii="Arial" w:hAnsi="Arial" w:cs="Arial"/>
          <w:sz w:val="20"/>
          <w:szCs w:val="20"/>
        </w:rPr>
        <w:t>De belasting is eisbaar binnen de twee maanden na het toezenden van het aanslagbiljet;</w:t>
      </w:r>
    </w:p>
    <w:p w14:paraId="71FDF139" w14:textId="77777777" w:rsidR="00286F48" w:rsidRPr="00C002CE" w:rsidRDefault="00286F48" w:rsidP="00286F48">
      <w:pPr>
        <w:rPr>
          <w:rFonts w:ascii="Arial" w:hAnsi="Arial" w:cs="Arial"/>
          <w:b/>
          <w:bCs/>
          <w:sz w:val="20"/>
          <w:szCs w:val="20"/>
        </w:rPr>
      </w:pPr>
      <w:r w:rsidRPr="00C002CE">
        <w:rPr>
          <w:rFonts w:ascii="Arial" w:hAnsi="Arial" w:cs="Arial"/>
          <w:b/>
          <w:bCs/>
          <w:sz w:val="20"/>
          <w:szCs w:val="20"/>
        </w:rPr>
        <w:t>Artikel 8</w:t>
      </w:r>
    </w:p>
    <w:p w14:paraId="6E0AA02F" w14:textId="77777777" w:rsidR="00286F48" w:rsidRPr="00286F48" w:rsidRDefault="00286F48" w:rsidP="00286F48">
      <w:pPr>
        <w:rPr>
          <w:rFonts w:ascii="Arial" w:hAnsi="Arial" w:cs="Arial"/>
          <w:sz w:val="20"/>
          <w:szCs w:val="20"/>
        </w:rPr>
      </w:pPr>
      <w:r w:rsidRPr="00286F48">
        <w:rPr>
          <w:rFonts w:ascii="Arial" w:hAnsi="Arial" w:cs="Arial"/>
          <w:sz w:val="20"/>
          <w:szCs w:val="20"/>
        </w:rPr>
        <w:t>De belastingplichtige kan bezwaar indienen volgens de vigerende wetgeving;</w:t>
      </w:r>
    </w:p>
    <w:p w14:paraId="0673D768" w14:textId="77777777" w:rsidR="00286F48" w:rsidRPr="00C002CE" w:rsidRDefault="00286F48" w:rsidP="00286F48">
      <w:pPr>
        <w:rPr>
          <w:rFonts w:ascii="Arial" w:hAnsi="Arial" w:cs="Arial"/>
          <w:b/>
          <w:bCs/>
          <w:sz w:val="20"/>
          <w:szCs w:val="20"/>
        </w:rPr>
      </w:pPr>
      <w:r w:rsidRPr="00C002CE">
        <w:rPr>
          <w:rFonts w:ascii="Arial" w:hAnsi="Arial" w:cs="Arial"/>
          <w:b/>
          <w:bCs/>
          <w:sz w:val="20"/>
          <w:szCs w:val="20"/>
        </w:rPr>
        <w:t>Artikel 9</w:t>
      </w:r>
    </w:p>
    <w:p w14:paraId="284F193A" w14:textId="77777777" w:rsidR="00286F48" w:rsidRPr="00286F48" w:rsidRDefault="00286F48" w:rsidP="00286F48">
      <w:pPr>
        <w:rPr>
          <w:rFonts w:ascii="Arial" w:hAnsi="Arial" w:cs="Arial"/>
          <w:sz w:val="20"/>
          <w:szCs w:val="20"/>
        </w:rPr>
      </w:pPr>
      <w:r w:rsidRPr="00286F48">
        <w:rPr>
          <w:rFonts w:ascii="Arial" w:hAnsi="Arial" w:cs="Arial"/>
          <w:sz w:val="20"/>
          <w:szCs w:val="20"/>
        </w:rPr>
        <w:t>Zonder afbreuk te doen aan de bepalingen van het huidige decreet, zijn de bepalingen van titel VII, hoofdstukken 1, 3, 4, 6 tot en met 9bis, van het Wetboek van de inkomstenbelastingen en artikelen 126 tot en met 175 van het uitvoeringsbesluit van dat wetboek van toepassing op de provincie- en gemeentebelastingen, voor zover ze niet specifiek de belastingen op de inkomsten betreffen;</w:t>
      </w:r>
    </w:p>
    <w:p w14:paraId="534B8AA4" w14:textId="77777777" w:rsidR="00286F48" w:rsidRPr="00C002CE" w:rsidRDefault="00286F48" w:rsidP="00286F48">
      <w:pPr>
        <w:rPr>
          <w:rFonts w:ascii="Arial" w:hAnsi="Arial" w:cs="Arial"/>
          <w:b/>
          <w:bCs/>
          <w:sz w:val="20"/>
          <w:szCs w:val="20"/>
        </w:rPr>
      </w:pPr>
      <w:r w:rsidRPr="00C002CE">
        <w:rPr>
          <w:rFonts w:ascii="Arial" w:hAnsi="Arial" w:cs="Arial"/>
          <w:b/>
          <w:bCs/>
          <w:sz w:val="20"/>
          <w:szCs w:val="20"/>
        </w:rPr>
        <w:t>Artikel 10</w:t>
      </w:r>
    </w:p>
    <w:p w14:paraId="7E1150DA" w14:textId="54C51820" w:rsidR="004E1A0E" w:rsidRPr="00C002CE" w:rsidRDefault="00C002CE" w:rsidP="00C002CE">
      <w:pPr>
        <w:rPr>
          <w:rFonts w:ascii="Arial" w:hAnsi="Arial" w:cs="Arial"/>
          <w:color w:val="FF0000"/>
          <w:sz w:val="20"/>
          <w:szCs w:val="20"/>
        </w:rPr>
      </w:pPr>
      <w:r w:rsidRPr="00C002CE">
        <w:rPr>
          <w:rFonts w:ascii="Arial" w:hAnsi="Arial" w:cs="Arial"/>
          <w:color w:val="FF0000"/>
          <w:sz w:val="20"/>
          <w:szCs w:val="20"/>
        </w:rPr>
        <w:t>Dit besluit wordt overeenkomstig artikel 286 van het decreet over het lokaal bestuur afgekondigd en bekendgemaakt.</w:t>
      </w:r>
    </w:p>
    <w:sectPr w:rsidR="004E1A0E" w:rsidRPr="00C002C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B8D12" w14:textId="77777777" w:rsidR="009D6BB1" w:rsidRDefault="009D6BB1" w:rsidP="009D6BB1">
      <w:pPr>
        <w:spacing w:after="0" w:line="240" w:lineRule="auto"/>
      </w:pPr>
      <w:r>
        <w:separator/>
      </w:r>
    </w:p>
  </w:endnote>
  <w:endnote w:type="continuationSeparator" w:id="0">
    <w:p w14:paraId="754360F2" w14:textId="77777777" w:rsidR="009D6BB1" w:rsidRDefault="009D6BB1" w:rsidP="009D6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74164" w14:textId="77777777" w:rsidR="009D6BB1" w:rsidRDefault="009D6BB1" w:rsidP="009D6BB1">
      <w:pPr>
        <w:spacing w:after="0" w:line="240" w:lineRule="auto"/>
      </w:pPr>
      <w:r>
        <w:separator/>
      </w:r>
    </w:p>
  </w:footnote>
  <w:footnote w:type="continuationSeparator" w:id="0">
    <w:p w14:paraId="507B872E" w14:textId="77777777" w:rsidR="009D6BB1" w:rsidRDefault="009D6BB1" w:rsidP="009D6BB1">
      <w:pPr>
        <w:spacing w:after="0" w:line="240" w:lineRule="auto"/>
      </w:pPr>
      <w:r>
        <w:continuationSeparator/>
      </w:r>
    </w:p>
  </w:footnote>
  <w:footnote w:id="1">
    <w:p w14:paraId="08E0DF7E" w14:textId="7C9575BE" w:rsidR="00782342" w:rsidRDefault="00782342">
      <w:pPr>
        <w:pStyle w:val="Voetnoottekst"/>
      </w:pPr>
      <w:r>
        <w:rPr>
          <w:rStyle w:val="Voetnootmarkering"/>
        </w:rPr>
        <w:footnoteRef/>
      </w:r>
      <w:r>
        <w:t xml:space="preserve"> </w:t>
      </w:r>
      <w:r>
        <w:rPr>
          <w:rFonts w:ascii="Arial" w:hAnsi="Arial" w:cs="Arial"/>
          <w:sz w:val="18"/>
          <w:szCs w:val="18"/>
        </w:rPr>
        <w:t>Toegevoegd door de gemeenteraad in zitting van 20 december 2021</w:t>
      </w:r>
    </w:p>
  </w:footnote>
  <w:footnote w:id="2">
    <w:p w14:paraId="11072C85" w14:textId="76930A2D" w:rsidR="009D6BB1" w:rsidRPr="009D6BB1" w:rsidRDefault="009D6BB1" w:rsidP="00782342">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Alinea toegevoegd door de gemeenteraad in zitting van 20 december 2021</w:t>
      </w:r>
    </w:p>
  </w:footnote>
  <w:footnote w:id="3">
    <w:p w14:paraId="3554B204" w14:textId="3B86E39B" w:rsidR="00CF260D" w:rsidRPr="00CF260D" w:rsidRDefault="00CF260D">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Tweede alinea aangepast door de gemeenteraad in zitting van 20 december 2021.</w:t>
      </w:r>
    </w:p>
  </w:footnote>
  <w:footnote w:id="4">
    <w:p w14:paraId="7E5AC85E" w14:textId="7561FFDA" w:rsidR="00CF260D" w:rsidRDefault="00CF260D">
      <w:pPr>
        <w:pStyle w:val="Voetnoottekst"/>
      </w:pPr>
      <w:r>
        <w:rPr>
          <w:rStyle w:val="Voetnootmarkering"/>
        </w:rPr>
        <w:footnoteRef/>
      </w:r>
      <w:r>
        <w:t xml:space="preserve"> </w:t>
      </w:r>
      <w:r>
        <w:rPr>
          <w:rFonts w:ascii="Arial" w:hAnsi="Arial" w:cs="Arial"/>
          <w:sz w:val="18"/>
          <w:szCs w:val="18"/>
        </w:rPr>
        <w:t>Geschrapt door de gemeenteraad in zitting van 20 december 2021</w:t>
      </w:r>
    </w:p>
  </w:footnote>
  <w:footnote w:id="5">
    <w:p w14:paraId="3608E5DE" w14:textId="4DF53863" w:rsidR="00C002CE" w:rsidRDefault="00C002CE">
      <w:pPr>
        <w:pStyle w:val="Voetnoottekst"/>
      </w:pPr>
      <w:r>
        <w:rPr>
          <w:rStyle w:val="Voetnootmarkering"/>
        </w:rPr>
        <w:footnoteRef/>
      </w:r>
      <w:r>
        <w:t xml:space="preserve"> </w:t>
      </w:r>
      <w:r>
        <w:rPr>
          <w:rFonts w:ascii="Arial" w:hAnsi="Arial" w:cs="Arial"/>
          <w:sz w:val="18"/>
          <w:szCs w:val="18"/>
        </w:rPr>
        <w:t>Aangepast door de gemeenteraad in zitting van 20 december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AF2AC0"/>
    <w:multiLevelType w:val="hybridMultilevel"/>
    <w:tmpl w:val="8356F5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F48"/>
    <w:rsid w:val="000B0117"/>
    <w:rsid w:val="00286F48"/>
    <w:rsid w:val="00481C92"/>
    <w:rsid w:val="004E1A0E"/>
    <w:rsid w:val="005234AA"/>
    <w:rsid w:val="0057562C"/>
    <w:rsid w:val="005A13F2"/>
    <w:rsid w:val="00782342"/>
    <w:rsid w:val="009247F6"/>
    <w:rsid w:val="00925DAB"/>
    <w:rsid w:val="009D6BB1"/>
    <w:rsid w:val="00C002CE"/>
    <w:rsid w:val="00CF260D"/>
    <w:rsid w:val="00D630D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48526"/>
  <w15:chartTrackingRefBased/>
  <w15:docId w15:val="{E06EF66D-393E-41AB-9687-C5B065EFC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9D6BB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D6BB1"/>
    <w:rPr>
      <w:sz w:val="20"/>
      <w:szCs w:val="20"/>
    </w:rPr>
  </w:style>
  <w:style w:type="character" w:styleId="Voetnootmarkering">
    <w:name w:val="footnote reference"/>
    <w:basedOn w:val="Standaardalinea-lettertype"/>
    <w:uiPriority w:val="99"/>
    <w:semiHidden/>
    <w:unhideWhenUsed/>
    <w:rsid w:val="009D6BB1"/>
    <w:rPr>
      <w:vertAlign w:val="superscript"/>
    </w:rPr>
  </w:style>
  <w:style w:type="paragraph" w:styleId="Lijstalinea">
    <w:name w:val="List Paragraph"/>
    <w:basedOn w:val="Standaard"/>
    <w:uiPriority w:val="34"/>
    <w:qFormat/>
    <w:rsid w:val="00D630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9E6AC-3177-49AA-A09C-10B9C850B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722</Words>
  <Characters>3974</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10</cp:revision>
  <dcterms:created xsi:type="dcterms:W3CDTF">2021-11-30T11:04:00Z</dcterms:created>
  <dcterms:modified xsi:type="dcterms:W3CDTF">2021-12-09T11:45:00Z</dcterms:modified>
</cp:coreProperties>
</file>